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A496" w14:textId="110307AF" w:rsidR="002B4F4A" w:rsidRDefault="00CC614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A41E5E">
        <w:rPr>
          <w:rFonts w:ascii="Verdana" w:hAnsi="Verdana"/>
          <w:b/>
          <w:bCs/>
          <w:sz w:val="20"/>
          <w:szCs w:val="20"/>
        </w:rPr>
        <w:t>PARTE</w:t>
      </w:r>
      <w:r w:rsidR="00A41E5E" w:rsidRPr="00A41E5E">
        <w:rPr>
          <w:rFonts w:ascii="Verdana" w:hAnsi="Verdana"/>
          <w:b/>
          <w:bCs/>
          <w:sz w:val="20"/>
          <w:szCs w:val="20"/>
        </w:rPr>
        <w:t xml:space="preserve"> </w:t>
      </w:r>
      <w:r w:rsidR="008A05D0">
        <w:rPr>
          <w:rFonts w:ascii="Verdana" w:hAnsi="Verdana"/>
          <w:b/>
          <w:bCs/>
          <w:sz w:val="20"/>
          <w:szCs w:val="20"/>
        </w:rPr>
        <w:t>3</w:t>
      </w:r>
    </w:p>
    <w:p w14:paraId="4F65C818" w14:textId="77777777" w:rsidR="00553A2C" w:rsidRPr="007B3125" w:rsidRDefault="00553A2C" w:rsidP="00553A2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6E649330">
        <w:rPr>
          <w:rFonts w:ascii="Verdana" w:hAnsi="Verdana"/>
          <w:b/>
          <w:bCs/>
          <w:sz w:val="20"/>
          <w:szCs w:val="20"/>
        </w:rPr>
        <w:t>INFORMACIÓN FINANCIERA Y ESQUEMAS DE REPORTE</w:t>
      </w:r>
    </w:p>
    <w:p w14:paraId="1BF07C81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3595CC9B" w:rsidR="00A41E5E" w:rsidRDefault="00A41E5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CAPÍTULO </w:t>
      </w:r>
      <w:r w:rsidR="00553A2C">
        <w:rPr>
          <w:rFonts w:ascii="Verdana" w:hAnsi="Verdana"/>
          <w:b/>
          <w:bCs/>
          <w:sz w:val="20"/>
          <w:szCs w:val="20"/>
        </w:rPr>
        <w:t>9</w:t>
      </w:r>
    </w:p>
    <w:p w14:paraId="674735F7" w14:textId="77777777" w:rsidR="00460EBE" w:rsidRDefault="00460EBE" w:rsidP="00460EBE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6E649330">
        <w:rPr>
          <w:rFonts w:ascii="Verdana" w:hAnsi="Verdana"/>
          <w:b/>
          <w:bCs/>
          <w:sz w:val="20"/>
          <w:szCs w:val="20"/>
        </w:rPr>
        <w:t>OPERACIONES PARTICULARES DE LAS ENTIDADES VIGILADAS</w:t>
      </w:r>
    </w:p>
    <w:p w14:paraId="3AEDBD8A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5A25184E" w14:textId="2E51884F" w:rsidR="00DA0C0E" w:rsidRDefault="00DA0C0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SECCIÓN </w:t>
      </w:r>
      <w:r w:rsidR="00460EBE">
        <w:rPr>
          <w:rFonts w:ascii="Verdana" w:hAnsi="Verdana"/>
          <w:b/>
          <w:bCs/>
          <w:sz w:val="20"/>
          <w:szCs w:val="20"/>
        </w:rPr>
        <w:t>3</w:t>
      </w:r>
    </w:p>
    <w:p w14:paraId="3D44F018" w14:textId="6FFA5E2A" w:rsidR="00A05BF0" w:rsidRPr="002E7D14" w:rsidRDefault="00A05BF0" w:rsidP="6E649330">
      <w:pPr>
        <w:jc w:val="center"/>
        <w:rPr>
          <w:rFonts w:ascii="Verdana" w:eastAsia="Verdana" w:hAnsi="Verdana" w:cs="Verdana"/>
          <w:sz w:val="20"/>
          <w:szCs w:val="20"/>
        </w:rPr>
      </w:pPr>
      <w:r w:rsidRPr="6E649330">
        <w:rPr>
          <w:rFonts w:ascii="Verdana" w:eastAsia="Verdana" w:hAnsi="Verdana" w:cs="Verdana"/>
          <w:b/>
          <w:bCs/>
          <w:sz w:val="20"/>
          <w:szCs w:val="20"/>
        </w:rPr>
        <w:t>VENTAS A PLAZO DE ACTIVOS IMPRODUCTIVOS (OPERACIONES COLECTOR)</w:t>
      </w:r>
    </w:p>
    <w:p w14:paraId="34FD7863" w14:textId="77777777" w:rsidR="009D6127" w:rsidRDefault="009D6127" w:rsidP="009D6127">
      <w:pPr>
        <w:rPr>
          <w:rFonts w:ascii="Verdana" w:hAnsi="Verdana"/>
          <w:b/>
          <w:bCs/>
          <w:sz w:val="20"/>
          <w:szCs w:val="20"/>
        </w:rPr>
      </w:pPr>
    </w:p>
    <w:p w14:paraId="6D8550D5" w14:textId="7482DF29" w:rsidR="004471A0" w:rsidRPr="004471A0" w:rsidRDefault="00FB0F74" w:rsidP="004471A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normaltextrun"/>
          <w:rFonts w:ascii="Verdana" w:hAnsi="Verdana" w:cs="Arial"/>
          <w:b/>
          <w:bCs/>
          <w:sz w:val="20"/>
          <w:szCs w:val="20"/>
        </w:rPr>
      </w:pPr>
      <w:r w:rsidRPr="004471A0">
        <w:rPr>
          <w:rStyle w:val="normaltextrun"/>
          <w:rFonts w:ascii="Verdana" w:hAnsi="Verdana" w:cs="Arial"/>
          <w:b/>
          <w:bCs/>
          <w:sz w:val="20"/>
          <w:szCs w:val="20"/>
        </w:rPr>
        <w:t>ÁMBITO DE APLICACIÓN</w:t>
      </w:r>
    </w:p>
    <w:p w14:paraId="698C478F" w14:textId="77777777" w:rsidR="00FB0F74" w:rsidRDefault="00FB0F74" w:rsidP="006E3ABB">
      <w:pPr>
        <w:spacing w:after="0"/>
        <w:rPr>
          <w:rStyle w:val="normaltextrun"/>
          <w:rFonts w:ascii="Verdana" w:hAnsi="Verdana" w:cs="Arial"/>
          <w:sz w:val="20"/>
          <w:szCs w:val="20"/>
        </w:rPr>
      </w:pPr>
    </w:p>
    <w:p w14:paraId="0D2C5B81" w14:textId="16202085" w:rsidR="006E3ABB" w:rsidRPr="007B3125" w:rsidRDefault="006E3ABB" w:rsidP="006E3ABB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</w:t>
      </w:r>
      <w:r w:rsidR="00DE7D5C">
        <w:rPr>
          <w:rFonts w:ascii="Verdana" w:hAnsi="Verdana"/>
          <w:sz w:val="20"/>
          <w:szCs w:val="20"/>
        </w:rPr>
        <w:t>3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1</w:t>
      </w:r>
      <w:r w:rsidR="00CB3D8D">
        <w:rPr>
          <w:rFonts w:ascii="Verdana" w:hAnsi="Verdana"/>
          <w:sz w:val="20"/>
          <w:szCs w:val="20"/>
        </w:rPr>
        <w:t>.</w:t>
      </w:r>
    </w:p>
    <w:p w14:paraId="6F26C04F" w14:textId="7FA9F914" w:rsidR="00FB0F74" w:rsidRDefault="004471A0" w:rsidP="00FB0F74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4471A0">
        <w:rPr>
          <w:rStyle w:val="normaltextrun"/>
          <w:rFonts w:ascii="Verdana" w:hAnsi="Verdana" w:cs="Arial"/>
          <w:sz w:val="20"/>
          <w:szCs w:val="20"/>
        </w:rPr>
        <w:t xml:space="preserve">Las instrucciones del presente </w:t>
      </w:r>
      <w:r w:rsidR="00AE437E">
        <w:rPr>
          <w:rStyle w:val="normaltextrun"/>
          <w:rFonts w:ascii="Verdana" w:hAnsi="Verdana" w:cs="Arial"/>
          <w:sz w:val="20"/>
          <w:szCs w:val="20"/>
        </w:rPr>
        <w:t>c</w:t>
      </w:r>
      <w:r w:rsidRPr="004471A0">
        <w:rPr>
          <w:rStyle w:val="normaltextrun"/>
          <w:rFonts w:ascii="Verdana" w:hAnsi="Verdana" w:cs="Arial"/>
          <w:sz w:val="20"/>
          <w:szCs w:val="20"/>
        </w:rPr>
        <w:t xml:space="preserve">apítulo aplican a las entidades vigiladas que puedan </w:t>
      </w:r>
      <w:r w:rsidR="00E01318">
        <w:rPr>
          <w:rStyle w:val="normaltextrun"/>
          <w:rFonts w:ascii="Verdana" w:hAnsi="Verdana" w:cs="Arial"/>
          <w:sz w:val="20"/>
          <w:szCs w:val="20"/>
        </w:rPr>
        <w:t xml:space="preserve">mantener </w:t>
      </w:r>
      <w:r w:rsidRPr="004471A0">
        <w:rPr>
          <w:rStyle w:val="normaltextrun"/>
          <w:rFonts w:ascii="Verdana" w:hAnsi="Verdana" w:cs="Arial"/>
          <w:sz w:val="20"/>
          <w:szCs w:val="20"/>
        </w:rPr>
        <w:t>activos improductivos en su estado de situación financiera</w:t>
      </w:r>
      <w:r w:rsidR="006068C6">
        <w:rPr>
          <w:rStyle w:val="normaltextrun"/>
          <w:rFonts w:ascii="Verdana" w:hAnsi="Verdana" w:cs="Arial"/>
          <w:sz w:val="20"/>
          <w:szCs w:val="20"/>
        </w:rPr>
        <w:t xml:space="preserve">, en relación con las operaciones </w:t>
      </w:r>
      <w:r w:rsidR="0025164D">
        <w:rPr>
          <w:rStyle w:val="normaltextrun"/>
          <w:rFonts w:ascii="Verdana" w:hAnsi="Verdana" w:cs="Arial"/>
          <w:sz w:val="20"/>
          <w:szCs w:val="20"/>
        </w:rPr>
        <w:t xml:space="preserve">de venta de </w:t>
      </w:r>
      <w:r w:rsidR="005F7E19">
        <w:rPr>
          <w:rStyle w:val="normaltextrun"/>
          <w:rFonts w:ascii="Verdana" w:hAnsi="Verdana" w:cs="Arial"/>
          <w:sz w:val="20"/>
          <w:szCs w:val="20"/>
        </w:rPr>
        <w:t>dichos activos a sus partes vinculadas, con el fin de dar un tratamiento prudencial y transparente a estas operaciones por parte de las entidades vigiladas</w:t>
      </w:r>
      <w:r w:rsidRPr="004471A0">
        <w:rPr>
          <w:rStyle w:val="normaltextrun"/>
          <w:rFonts w:ascii="Verdana" w:hAnsi="Verdana" w:cs="Arial"/>
          <w:sz w:val="20"/>
          <w:szCs w:val="20"/>
        </w:rPr>
        <w:t xml:space="preserve">.  </w:t>
      </w:r>
    </w:p>
    <w:p w14:paraId="154DDA03" w14:textId="75E862E4" w:rsidR="004471A0" w:rsidRPr="00FB0F74" w:rsidRDefault="004471A0" w:rsidP="00FB0F74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DE7D5C">
        <w:rPr>
          <w:rStyle w:val="normaltextrun"/>
          <w:rFonts w:ascii="Verdana" w:hAnsi="Verdana" w:cs="Arial"/>
          <w:b/>
          <w:bCs/>
          <w:sz w:val="20"/>
          <w:szCs w:val="20"/>
        </w:rPr>
        <w:t>Definición y alcance de las operaciones colector</w:t>
      </w:r>
    </w:p>
    <w:p w14:paraId="0279DD7C" w14:textId="55F59ADA" w:rsidR="008A5DE2" w:rsidRPr="007B3125" w:rsidRDefault="008A5DE2" w:rsidP="008A5DE2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2</w:t>
      </w:r>
      <w:r w:rsidR="00CB3D8D">
        <w:rPr>
          <w:rFonts w:ascii="Verdana" w:hAnsi="Verdana"/>
          <w:sz w:val="20"/>
          <w:szCs w:val="20"/>
        </w:rPr>
        <w:t>.</w:t>
      </w:r>
    </w:p>
    <w:p w14:paraId="454703FB" w14:textId="091379C6" w:rsidR="00FB0F74" w:rsidRDefault="004471A0" w:rsidP="00FB0F74">
      <w:pPr>
        <w:jc w:val="both"/>
        <w:rPr>
          <w:rFonts w:ascii="Verdana" w:hAnsi="Verdana" w:cs="Arial"/>
          <w:sz w:val="20"/>
          <w:szCs w:val="20"/>
        </w:rPr>
      </w:pPr>
      <w:r w:rsidRPr="004471A0">
        <w:rPr>
          <w:rStyle w:val="normaltextrun"/>
          <w:rFonts w:ascii="Verdana" w:hAnsi="Verdana" w:cs="Arial"/>
          <w:sz w:val="20"/>
          <w:szCs w:val="20"/>
        </w:rPr>
        <w:t>Las operaciones colector corresponden a ventas a plazo de activos improductivos, tales como cartera improductiva, bienes recibidos en dación en pago, bienes restituidos, entre otros, en las cuales el comprador s</w:t>
      </w:r>
      <w:r w:rsidR="00BE4980">
        <w:rPr>
          <w:rStyle w:val="normaltextrun"/>
          <w:rFonts w:ascii="Verdana" w:hAnsi="Verdana" w:cs="Arial"/>
          <w:sz w:val="20"/>
          <w:szCs w:val="20"/>
        </w:rPr>
        <w:t>ea</w:t>
      </w:r>
      <w:r w:rsidRPr="004471A0">
        <w:rPr>
          <w:rStyle w:val="normaltextrun"/>
          <w:rFonts w:ascii="Verdana" w:hAnsi="Verdana" w:cs="Arial"/>
          <w:sz w:val="20"/>
          <w:szCs w:val="20"/>
        </w:rPr>
        <w:t xml:space="preserve"> un accionista o, en general, un vinculado de la entidad, en los términos del Decreto 1358 de 2024. </w:t>
      </w:r>
    </w:p>
    <w:p w14:paraId="4878FEA3" w14:textId="28CEF7D4" w:rsidR="00FB0F74" w:rsidRPr="00FB0F74" w:rsidRDefault="00FB0F74" w:rsidP="00FB0F74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1D617A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REGLAS PARA </w:t>
      </w:r>
      <w:r w:rsidR="00C61CA8">
        <w:rPr>
          <w:rStyle w:val="normaltextrun"/>
          <w:rFonts w:ascii="Verdana" w:hAnsi="Verdana" w:cs="Arial"/>
          <w:b/>
          <w:bCs/>
          <w:sz w:val="20"/>
          <w:szCs w:val="20"/>
        </w:rPr>
        <w:t>EL</w:t>
      </w:r>
      <w:r w:rsidRPr="001D617A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 RECONOCIMIENTO Y CONTROL</w:t>
      </w:r>
    </w:p>
    <w:p w14:paraId="05FF5410" w14:textId="64CD87F5" w:rsidR="001D617A" w:rsidRPr="00FB0F74" w:rsidRDefault="001D617A" w:rsidP="00FB0F7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 w:cs="Arial"/>
          <w:b/>
          <w:bCs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</w:t>
      </w:r>
      <w:r w:rsidR="00CB3D8D">
        <w:rPr>
          <w:rFonts w:ascii="Verdana" w:hAnsi="Verdana"/>
          <w:sz w:val="20"/>
          <w:szCs w:val="20"/>
        </w:rPr>
        <w:t>.</w:t>
      </w:r>
    </w:p>
    <w:p w14:paraId="4857C878" w14:textId="77777777" w:rsidR="004471A0" w:rsidRPr="004471A0" w:rsidRDefault="004471A0" w:rsidP="004471A0">
      <w:pPr>
        <w:jc w:val="both"/>
        <w:rPr>
          <w:rStyle w:val="normaltextrun"/>
          <w:rFonts w:ascii="Verdana" w:hAnsi="Verdana" w:cs="Arial"/>
          <w:sz w:val="20"/>
          <w:szCs w:val="20"/>
          <w:lang w:val="es-ES"/>
        </w:rPr>
      </w:pPr>
      <w:r w:rsidRPr="004471A0">
        <w:rPr>
          <w:rStyle w:val="normaltextrun"/>
          <w:rFonts w:ascii="Verdana" w:hAnsi="Verdana" w:cs="Arial"/>
          <w:sz w:val="20"/>
          <w:szCs w:val="20"/>
          <w:lang w:val="es-ES"/>
        </w:rPr>
        <w:t xml:space="preserve">Teniendo en cuenta que los flujos de pago de las operaciones colector se difieren a plazo, los ingresos por estas operaciones deben reconocerse en el periodo en que se reciba el pago de cada uno de los instalamentos acordados en la compraventa a plazo y no en el momento de suscripción inicial del contrato. </w:t>
      </w:r>
    </w:p>
    <w:p w14:paraId="7DBD4ECD" w14:textId="280C7ACC" w:rsidR="00CB3D8D" w:rsidRPr="007B3125" w:rsidRDefault="00CB3D8D" w:rsidP="00CB3D8D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4.</w:t>
      </w:r>
    </w:p>
    <w:p w14:paraId="5AB6DCA1" w14:textId="71CD86F4" w:rsidR="004471A0" w:rsidRPr="00FB0F74" w:rsidRDefault="004471A0" w:rsidP="004471A0">
      <w:pPr>
        <w:jc w:val="both"/>
        <w:rPr>
          <w:rFonts w:ascii="Verdana" w:hAnsi="Verdana"/>
          <w:sz w:val="20"/>
          <w:szCs w:val="20"/>
          <w:lang w:val="es-ES"/>
        </w:rPr>
      </w:pPr>
      <w:r w:rsidRPr="004471A0">
        <w:rPr>
          <w:rStyle w:val="normaltextrun"/>
          <w:rFonts w:ascii="Verdana" w:hAnsi="Verdana" w:cs="Arial"/>
          <w:sz w:val="20"/>
          <w:szCs w:val="20"/>
          <w:lang w:val="es-ES"/>
        </w:rPr>
        <w:t>La formalización de las ventas a plazo de activos improductivos no faculta a las entidades vigiladas para realizar la reversión inmediata de las provisiones correspondiente a dichos activos. En consecuencia, dichas reversiones solo podrán contabilizarse en la medida en que efectivamente se produzcan los recaudos.</w:t>
      </w:r>
    </w:p>
    <w:p w14:paraId="343B031A" w14:textId="63E123FF" w:rsidR="004471A0" w:rsidRPr="00CB3D8D" w:rsidRDefault="00FB0F74" w:rsidP="00CB3D8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normaltextrun"/>
          <w:rFonts w:ascii="Verdana" w:hAnsi="Verdana" w:cs="Arial"/>
          <w:b/>
          <w:bCs/>
          <w:sz w:val="20"/>
          <w:szCs w:val="20"/>
        </w:rPr>
      </w:pPr>
      <w:r w:rsidRPr="00CB3D8D">
        <w:rPr>
          <w:rStyle w:val="normaltextrun"/>
          <w:rFonts w:ascii="Verdana" w:hAnsi="Verdana" w:cs="Arial"/>
          <w:b/>
          <w:bCs/>
          <w:sz w:val="20"/>
          <w:szCs w:val="20"/>
        </w:rPr>
        <w:t>REGLAS DE GOBIERNO Y REVELACIÓN</w:t>
      </w:r>
    </w:p>
    <w:p w14:paraId="5FE465AA" w14:textId="77777777" w:rsidR="00FB0F74" w:rsidRDefault="00FB0F74" w:rsidP="00CB3D8D">
      <w:pPr>
        <w:spacing w:after="0"/>
        <w:rPr>
          <w:rFonts w:ascii="Verdana" w:hAnsi="Verdana"/>
          <w:sz w:val="20"/>
          <w:szCs w:val="20"/>
        </w:rPr>
      </w:pPr>
    </w:p>
    <w:p w14:paraId="7E6F363C" w14:textId="30E86E83" w:rsidR="00CB3D8D" w:rsidRPr="007B3125" w:rsidRDefault="00CB3D8D" w:rsidP="00CB3D8D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5.</w:t>
      </w:r>
    </w:p>
    <w:p w14:paraId="3A6A3ED8" w14:textId="654D52EA" w:rsidR="004471A0" w:rsidRPr="004471A0" w:rsidRDefault="004471A0" w:rsidP="004471A0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4471A0">
        <w:rPr>
          <w:rStyle w:val="normaltextrun"/>
          <w:rFonts w:ascii="Verdana" w:hAnsi="Verdana" w:cs="Arial"/>
          <w:sz w:val="20"/>
          <w:szCs w:val="20"/>
        </w:rPr>
        <w:t>Las entidades vigiladas deben establecer políticas y procedimientos para someter a aprobación</w:t>
      </w:r>
      <w:r w:rsidR="007A1EA4">
        <w:rPr>
          <w:rStyle w:val="normaltextrun"/>
          <w:rFonts w:ascii="Verdana" w:hAnsi="Verdana" w:cs="Arial"/>
          <w:sz w:val="20"/>
          <w:szCs w:val="20"/>
        </w:rPr>
        <w:t>,</w:t>
      </w:r>
      <w:r w:rsidRPr="004471A0">
        <w:rPr>
          <w:rStyle w:val="normaltextrun"/>
          <w:rFonts w:ascii="Verdana" w:hAnsi="Verdana" w:cs="Arial"/>
          <w:sz w:val="20"/>
          <w:szCs w:val="20"/>
        </w:rPr>
        <w:t xml:space="preserve"> de las instancias correspond</w:t>
      </w:r>
      <w:r w:rsidR="002E1057">
        <w:rPr>
          <w:rStyle w:val="normaltextrun"/>
          <w:rFonts w:ascii="Verdana" w:hAnsi="Verdana" w:cs="Arial"/>
          <w:sz w:val="20"/>
          <w:szCs w:val="20"/>
        </w:rPr>
        <w:t>ientes</w:t>
      </w:r>
      <w:r w:rsidR="007A1EA4">
        <w:rPr>
          <w:rStyle w:val="normaltextrun"/>
          <w:rFonts w:ascii="Verdana" w:hAnsi="Verdana" w:cs="Arial"/>
          <w:sz w:val="20"/>
          <w:szCs w:val="20"/>
        </w:rPr>
        <w:t>,</w:t>
      </w:r>
      <w:r w:rsidR="002E1057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Pr="004471A0">
        <w:rPr>
          <w:rStyle w:val="normaltextrun"/>
          <w:rFonts w:ascii="Verdana" w:hAnsi="Verdana" w:cs="Arial"/>
          <w:sz w:val="20"/>
          <w:szCs w:val="20"/>
        </w:rPr>
        <w:t xml:space="preserve">las operaciones colector. Igualmente, las entidades deben establecer políticas para la gestión de los conflictos de interés que puedan presentarse en el desarrollo de </w:t>
      </w:r>
      <w:r w:rsidR="004B4601">
        <w:rPr>
          <w:rStyle w:val="normaltextrun"/>
          <w:rFonts w:ascii="Verdana" w:hAnsi="Verdana" w:cs="Arial"/>
          <w:sz w:val="20"/>
          <w:szCs w:val="20"/>
        </w:rPr>
        <w:t xml:space="preserve">estas </w:t>
      </w:r>
      <w:r w:rsidRPr="004471A0">
        <w:rPr>
          <w:rStyle w:val="normaltextrun"/>
          <w:rFonts w:ascii="Verdana" w:hAnsi="Verdana" w:cs="Arial"/>
          <w:sz w:val="20"/>
          <w:szCs w:val="20"/>
        </w:rPr>
        <w:t>operaciones.</w:t>
      </w:r>
    </w:p>
    <w:p w14:paraId="41153AFE" w14:textId="25291E2D" w:rsidR="00DE4FCA" w:rsidRPr="007B3125" w:rsidRDefault="00DE4FCA" w:rsidP="00DE4FCA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</w:t>
      </w:r>
      <w:r w:rsidRPr="007B312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6.</w:t>
      </w:r>
    </w:p>
    <w:p w14:paraId="07FAC736" w14:textId="58EE306E" w:rsidR="007A4231" w:rsidRPr="004471A0" w:rsidRDefault="004471A0" w:rsidP="00B53968">
      <w:pPr>
        <w:jc w:val="both"/>
        <w:rPr>
          <w:rFonts w:ascii="Verdana" w:hAnsi="Verdana"/>
          <w:sz w:val="20"/>
          <w:szCs w:val="20"/>
        </w:rPr>
      </w:pPr>
      <w:r w:rsidRPr="004471A0">
        <w:rPr>
          <w:rStyle w:val="normaltextrun"/>
          <w:rFonts w:ascii="Verdana" w:hAnsi="Verdana" w:cs="Arial"/>
          <w:sz w:val="20"/>
          <w:szCs w:val="20"/>
        </w:rPr>
        <w:t>Además de las revelaciones requeridas bajo las normas contables sobre operaciones entre partes relacionadas,</w:t>
      </w:r>
      <w:r w:rsidR="00C8061A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Pr="004471A0">
        <w:rPr>
          <w:rStyle w:val="normaltextrun"/>
          <w:rFonts w:ascii="Verdana" w:hAnsi="Verdana" w:cs="Arial"/>
          <w:sz w:val="20"/>
          <w:szCs w:val="20"/>
          <w:lang w:val="es-ES"/>
        </w:rPr>
        <w:t xml:space="preserve">adoptadas mediante el Decreto 2420 de 2015, las entidades </w:t>
      </w:r>
      <w:r w:rsidR="0063446A">
        <w:rPr>
          <w:rStyle w:val="normaltextrun"/>
          <w:rFonts w:ascii="Verdana" w:hAnsi="Verdana" w:cs="Arial"/>
          <w:sz w:val="20"/>
          <w:szCs w:val="20"/>
          <w:lang w:val="es-ES"/>
        </w:rPr>
        <w:t>vigiladas</w:t>
      </w:r>
      <w:r w:rsidRPr="004471A0">
        <w:rPr>
          <w:rStyle w:val="normaltextrun"/>
          <w:rFonts w:ascii="Verdana" w:hAnsi="Verdana" w:cs="Arial"/>
          <w:sz w:val="20"/>
          <w:szCs w:val="20"/>
          <w:lang w:val="es-ES"/>
        </w:rPr>
        <w:t xml:space="preserve"> deben revelar en las notas a los estados financieros las condiciones económicas, incluyendo tasas, montos y plazos de las operaciones colector, así como establecer </w:t>
      </w:r>
      <w:r w:rsidR="00A64EE0">
        <w:rPr>
          <w:rStyle w:val="normaltextrun"/>
          <w:rFonts w:ascii="Verdana" w:hAnsi="Verdana" w:cs="Arial"/>
          <w:sz w:val="20"/>
          <w:szCs w:val="20"/>
          <w:lang w:val="es-ES"/>
        </w:rPr>
        <w:t xml:space="preserve">y revelar </w:t>
      </w:r>
      <w:r w:rsidRPr="004471A0">
        <w:rPr>
          <w:rStyle w:val="normaltextrun"/>
          <w:rFonts w:ascii="Verdana" w:hAnsi="Verdana" w:cs="Arial"/>
          <w:sz w:val="20"/>
          <w:szCs w:val="20"/>
          <w:lang w:val="es-ES"/>
        </w:rPr>
        <w:t xml:space="preserve">claramente el impacto de las operaciones en los resultados </w:t>
      </w:r>
      <w:r w:rsidR="008E035B">
        <w:rPr>
          <w:rStyle w:val="normaltextrun"/>
          <w:rFonts w:ascii="Verdana" w:hAnsi="Verdana" w:cs="Arial"/>
          <w:sz w:val="20"/>
          <w:szCs w:val="20"/>
          <w:lang w:val="es-ES"/>
        </w:rPr>
        <w:t xml:space="preserve">del </w:t>
      </w:r>
      <w:r w:rsidRPr="004471A0">
        <w:rPr>
          <w:rStyle w:val="normaltextrun"/>
          <w:rFonts w:ascii="Verdana" w:hAnsi="Verdana" w:cs="Arial"/>
          <w:sz w:val="20"/>
          <w:szCs w:val="20"/>
          <w:lang w:val="es-ES"/>
        </w:rPr>
        <w:t xml:space="preserve">período en el cual se realizaron. </w:t>
      </w:r>
    </w:p>
    <w:sectPr w:rsidR="007A4231" w:rsidRPr="004471A0" w:rsidSect="003C558F">
      <w:headerReference w:type="default" r:id="rId10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0C013" w14:textId="77777777" w:rsidR="00724033" w:rsidRDefault="00724033" w:rsidP="00057BF6">
      <w:pPr>
        <w:spacing w:after="0" w:line="240" w:lineRule="auto"/>
      </w:pPr>
      <w:r>
        <w:separator/>
      </w:r>
    </w:p>
  </w:endnote>
  <w:endnote w:type="continuationSeparator" w:id="0">
    <w:p w14:paraId="0BBA880B" w14:textId="77777777" w:rsidR="00724033" w:rsidRDefault="00724033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92E0" w14:textId="77777777" w:rsidR="00724033" w:rsidRDefault="00724033" w:rsidP="00057BF6">
      <w:pPr>
        <w:spacing w:after="0" w:line="240" w:lineRule="auto"/>
      </w:pPr>
      <w:r>
        <w:separator/>
      </w:r>
    </w:p>
  </w:footnote>
  <w:footnote w:type="continuationSeparator" w:id="0">
    <w:p w14:paraId="6D8F8C66" w14:textId="77777777" w:rsidR="00724033" w:rsidRDefault="00724033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962FB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0B0BA7"/>
    <w:multiLevelType w:val="hybridMultilevel"/>
    <w:tmpl w:val="E26E312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4487"/>
    <w:multiLevelType w:val="hybridMultilevel"/>
    <w:tmpl w:val="6344B048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4672D"/>
    <w:multiLevelType w:val="hybridMultilevel"/>
    <w:tmpl w:val="0C78D3A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22EF7"/>
    <w:multiLevelType w:val="hybridMultilevel"/>
    <w:tmpl w:val="44FCE8F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E76E3C"/>
    <w:multiLevelType w:val="hybridMultilevel"/>
    <w:tmpl w:val="6D3C35C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E0610"/>
    <w:multiLevelType w:val="hybridMultilevel"/>
    <w:tmpl w:val="5A1EADA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3553D"/>
    <w:multiLevelType w:val="hybridMultilevel"/>
    <w:tmpl w:val="869812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DF6FA6"/>
    <w:multiLevelType w:val="hybridMultilevel"/>
    <w:tmpl w:val="F6825A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016367"/>
    <w:multiLevelType w:val="hybridMultilevel"/>
    <w:tmpl w:val="496ACB1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B746782"/>
    <w:multiLevelType w:val="hybridMultilevel"/>
    <w:tmpl w:val="AA2CC714"/>
    <w:lvl w:ilvl="0" w:tplc="51E06B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AF9A35B0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EED2788E">
      <w:start w:val="1"/>
      <w:numFmt w:val="lowerLetter"/>
      <w:lvlText w:val="%3)"/>
      <w:lvlJc w:val="left"/>
      <w:pPr>
        <w:ind w:left="1695" w:hanging="7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FD7307"/>
    <w:multiLevelType w:val="hybridMultilevel"/>
    <w:tmpl w:val="ADF63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227BDF"/>
    <w:multiLevelType w:val="hybridMultilevel"/>
    <w:tmpl w:val="648E26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850A78"/>
    <w:multiLevelType w:val="hybridMultilevel"/>
    <w:tmpl w:val="C0EA5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859B6"/>
    <w:multiLevelType w:val="hybridMultilevel"/>
    <w:tmpl w:val="CF8CC6B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425DC"/>
    <w:multiLevelType w:val="multilevel"/>
    <w:tmpl w:val="CC0C76E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A897DBC"/>
    <w:multiLevelType w:val="hybridMultilevel"/>
    <w:tmpl w:val="EE6893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A92893"/>
    <w:multiLevelType w:val="hybridMultilevel"/>
    <w:tmpl w:val="6E08BFAC"/>
    <w:lvl w:ilvl="0" w:tplc="240A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8" w15:restartNumberingAfterBreak="0">
    <w:nsid w:val="2CFA1F7C"/>
    <w:multiLevelType w:val="hybridMultilevel"/>
    <w:tmpl w:val="02B41F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D472C3"/>
    <w:multiLevelType w:val="hybridMultilevel"/>
    <w:tmpl w:val="F4EA3718"/>
    <w:lvl w:ilvl="0" w:tplc="24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1E67D6"/>
    <w:multiLevelType w:val="hybridMultilevel"/>
    <w:tmpl w:val="DB5272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53C5CAA">
      <w:numFmt w:val="bullet"/>
      <w:lvlText w:val="•"/>
      <w:lvlJc w:val="left"/>
      <w:pPr>
        <w:ind w:left="1536" w:hanging="816"/>
      </w:pPr>
      <w:rPr>
        <w:rFonts w:ascii="Arial" w:eastAsia="Calibr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2D2ADE"/>
    <w:multiLevelType w:val="hybridMultilevel"/>
    <w:tmpl w:val="6158C136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9D278C"/>
    <w:multiLevelType w:val="hybridMultilevel"/>
    <w:tmpl w:val="AE02F8FE"/>
    <w:lvl w:ilvl="0" w:tplc="DB468BB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A7AA8"/>
    <w:multiLevelType w:val="hybridMultilevel"/>
    <w:tmpl w:val="57DE65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74786"/>
    <w:multiLevelType w:val="hybridMultilevel"/>
    <w:tmpl w:val="D6C272AC"/>
    <w:lvl w:ilvl="0" w:tplc="A3C89E8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1133C1"/>
    <w:multiLevelType w:val="hybridMultilevel"/>
    <w:tmpl w:val="0DC46A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DF6205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8963794"/>
    <w:multiLevelType w:val="hybridMultilevel"/>
    <w:tmpl w:val="B27A98B0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A01F37"/>
    <w:multiLevelType w:val="hybridMultilevel"/>
    <w:tmpl w:val="6DA4926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70428"/>
    <w:multiLevelType w:val="multilevel"/>
    <w:tmpl w:val="3B5206D2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07774DA"/>
    <w:multiLevelType w:val="hybridMultilevel"/>
    <w:tmpl w:val="06AC4E0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A2050F"/>
    <w:multiLevelType w:val="hybridMultilevel"/>
    <w:tmpl w:val="673A995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E0799"/>
    <w:multiLevelType w:val="hybridMultilevel"/>
    <w:tmpl w:val="5F6E74EA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D78BB"/>
    <w:multiLevelType w:val="hybridMultilevel"/>
    <w:tmpl w:val="0EDC814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161E59"/>
    <w:multiLevelType w:val="hybridMultilevel"/>
    <w:tmpl w:val="0B12EFA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740FF"/>
    <w:multiLevelType w:val="hybridMultilevel"/>
    <w:tmpl w:val="8D963E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934984"/>
    <w:multiLevelType w:val="hybridMultilevel"/>
    <w:tmpl w:val="509E0F7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B576DF"/>
    <w:multiLevelType w:val="hybridMultilevel"/>
    <w:tmpl w:val="52029F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C94C03"/>
    <w:multiLevelType w:val="multilevel"/>
    <w:tmpl w:val="0C0A001D"/>
    <w:styleLink w:val="Estilo1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7A6689F"/>
    <w:multiLevelType w:val="hybridMultilevel"/>
    <w:tmpl w:val="C762A2B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375582"/>
    <w:multiLevelType w:val="hybridMultilevel"/>
    <w:tmpl w:val="282450C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8432656">
    <w:abstractNumId w:val="26"/>
  </w:num>
  <w:num w:numId="2" w16cid:durableId="1880435568">
    <w:abstractNumId w:val="38"/>
  </w:num>
  <w:num w:numId="3" w16cid:durableId="1362513633">
    <w:abstractNumId w:val="0"/>
  </w:num>
  <w:num w:numId="4" w16cid:durableId="865407780">
    <w:abstractNumId w:val="13"/>
  </w:num>
  <w:num w:numId="5" w16cid:durableId="2142072933">
    <w:abstractNumId w:val="11"/>
  </w:num>
  <w:num w:numId="6" w16cid:durableId="1895698361">
    <w:abstractNumId w:val="33"/>
  </w:num>
  <w:num w:numId="7" w16cid:durableId="2113162086">
    <w:abstractNumId w:val="2"/>
  </w:num>
  <w:num w:numId="8" w16cid:durableId="153033862">
    <w:abstractNumId w:val="12"/>
  </w:num>
  <w:num w:numId="9" w16cid:durableId="1967345544">
    <w:abstractNumId w:val="6"/>
  </w:num>
  <w:num w:numId="10" w16cid:durableId="981033342">
    <w:abstractNumId w:val="40"/>
  </w:num>
  <w:num w:numId="11" w16cid:durableId="1402868393">
    <w:abstractNumId w:val="9"/>
  </w:num>
  <w:num w:numId="12" w16cid:durableId="1006246652">
    <w:abstractNumId w:val="29"/>
  </w:num>
  <w:num w:numId="13" w16cid:durableId="978728261">
    <w:abstractNumId w:val="20"/>
  </w:num>
  <w:num w:numId="14" w16cid:durableId="78528817">
    <w:abstractNumId w:val="25"/>
  </w:num>
  <w:num w:numId="15" w16cid:durableId="1400783133">
    <w:abstractNumId w:val="35"/>
  </w:num>
  <w:num w:numId="16" w16cid:durableId="1938364807">
    <w:abstractNumId w:val="17"/>
  </w:num>
  <w:num w:numId="17" w16cid:durableId="1205092842">
    <w:abstractNumId w:val="28"/>
  </w:num>
  <w:num w:numId="18" w16cid:durableId="767624783">
    <w:abstractNumId w:val="37"/>
  </w:num>
  <w:num w:numId="19" w16cid:durableId="1220632725">
    <w:abstractNumId w:val="36"/>
  </w:num>
  <w:num w:numId="20" w16cid:durableId="2122873339">
    <w:abstractNumId w:val="21"/>
  </w:num>
  <w:num w:numId="21" w16cid:durableId="291398624">
    <w:abstractNumId w:val="1"/>
  </w:num>
  <w:num w:numId="22" w16cid:durableId="1656568277">
    <w:abstractNumId w:val="24"/>
  </w:num>
  <w:num w:numId="23" w16cid:durableId="693846277">
    <w:abstractNumId w:val="39"/>
  </w:num>
  <w:num w:numId="24" w16cid:durableId="626394639">
    <w:abstractNumId w:val="34"/>
  </w:num>
  <w:num w:numId="25" w16cid:durableId="1283152959">
    <w:abstractNumId w:val="15"/>
  </w:num>
  <w:num w:numId="26" w16cid:durableId="1833835843">
    <w:abstractNumId w:val="10"/>
  </w:num>
  <w:num w:numId="27" w16cid:durableId="1448355760">
    <w:abstractNumId w:val="22"/>
  </w:num>
  <w:num w:numId="28" w16cid:durableId="1302419666">
    <w:abstractNumId w:val="14"/>
  </w:num>
  <w:num w:numId="29" w16cid:durableId="996416780">
    <w:abstractNumId w:val="19"/>
  </w:num>
  <w:num w:numId="30" w16cid:durableId="679966915">
    <w:abstractNumId w:val="27"/>
  </w:num>
  <w:num w:numId="31" w16cid:durableId="388916171">
    <w:abstractNumId w:val="32"/>
  </w:num>
  <w:num w:numId="32" w16cid:durableId="1085344735">
    <w:abstractNumId w:val="8"/>
  </w:num>
  <w:num w:numId="33" w16cid:durableId="178398284">
    <w:abstractNumId w:val="30"/>
  </w:num>
  <w:num w:numId="34" w16cid:durableId="1256087641">
    <w:abstractNumId w:val="4"/>
  </w:num>
  <w:num w:numId="35" w16cid:durableId="432360488">
    <w:abstractNumId w:val="5"/>
  </w:num>
  <w:num w:numId="36" w16cid:durableId="184101424">
    <w:abstractNumId w:val="31"/>
  </w:num>
  <w:num w:numId="37" w16cid:durableId="1636792291">
    <w:abstractNumId w:val="7"/>
  </w:num>
  <w:num w:numId="38" w16cid:durableId="1738629813">
    <w:abstractNumId w:val="3"/>
  </w:num>
  <w:num w:numId="39" w16cid:durableId="1292438572">
    <w:abstractNumId w:val="18"/>
  </w:num>
  <w:num w:numId="40" w16cid:durableId="538974937">
    <w:abstractNumId w:val="16"/>
  </w:num>
  <w:num w:numId="41" w16cid:durableId="109231376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54ACE"/>
    <w:rsid w:val="00057BF6"/>
    <w:rsid w:val="0006736C"/>
    <w:rsid w:val="000921C9"/>
    <w:rsid w:val="000940CB"/>
    <w:rsid w:val="000A02FD"/>
    <w:rsid w:val="000A2FBC"/>
    <w:rsid w:val="000B6BCC"/>
    <w:rsid w:val="00111777"/>
    <w:rsid w:val="001560C2"/>
    <w:rsid w:val="00196BD8"/>
    <w:rsid w:val="001A50CD"/>
    <w:rsid w:val="001B5187"/>
    <w:rsid w:val="001D617A"/>
    <w:rsid w:val="0020206E"/>
    <w:rsid w:val="0021666A"/>
    <w:rsid w:val="0025164D"/>
    <w:rsid w:val="00280EB2"/>
    <w:rsid w:val="002A72AB"/>
    <w:rsid w:val="002B4DDC"/>
    <w:rsid w:val="002B4F4A"/>
    <w:rsid w:val="002D0F46"/>
    <w:rsid w:val="002D48B9"/>
    <w:rsid w:val="002E1057"/>
    <w:rsid w:val="002F16C9"/>
    <w:rsid w:val="002F5CF4"/>
    <w:rsid w:val="0030091B"/>
    <w:rsid w:val="003119F1"/>
    <w:rsid w:val="00312696"/>
    <w:rsid w:val="0036407F"/>
    <w:rsid w:val="00373137"/>
    <w:rsid w:val="00393492"/>
    <w:rsid w:val="00397675"/>
    <w:rsid w:val="003A5CFE"/>
    <w:rsid w:val="003B19DE"/>
    <w:rsid w:val="003C558F"/>
    <w:rsid w:val="003D5B6E"/>
    <w:rsid w:val="003D60E6"/>
    <w:rsid w:val="0040498E"/>
    <w:rsid w:val="00405030"/>
    <w:rsid w:val="00406D2B"/>
    <w:rsid w:val="0043223D"/>
    <w:rsid w:val="004362B9"/>
    <w:rsid w:val="004471A0"/>
    <w:rsid w:val="00453D6A"/>
    <w:rsid w:val="00460EBE"/>
    <w:rsid w:val="00463273"/>
    <w:rsid w:val="004709C7"/>
    <w:rsid w:val="00481ABE"/>
    <w:rsid w:val="004A01E3"/>
    <w:rsid w:val="004B4601"/>
    <w:rsid w:val="00505383"/>
    <w:rsid w:val="00507EB0"/>
    <w:rsid w:val="00530711"/>
    <w:rsid w:val="00541208"/>
    <w:rsid w:val="00544A86"/>
    <w:rsid w:val="00553A2C"/>
    <w:rsid w:val="0055785C"/>
    <w:rsid w:val="00562A71"/>
    <w:rsid w:val="0059665C"/>
    <w:rsid w:val="00596B88"/>
    <w:rsid w:val="005F7E19"/>
    <w:rsid w:val="006068C6"/>
    <w:rsid w:val="0061423F"/>
    <w:rsid w:val="0063446A"/>
    <w:rsid w:val="00663449"/>
    <w:rsid w:val="00671513"/>
    <w:rsid w:val="006A2685"/>
    <w:rsid w:val="006B11D4"/>
    <w:rsid w:val="006B7C9B"/>
    <w:rsid w:val="006D112C"/>
    <w:rsid w:val="006E3ABB"/>
    <w:rsid w:val="00710B3D"/>
    <w:rsid w:val="0071243A"/>
    <w:rsid w:val="00721D02"/>
    <w:rsid w:val="00724033"/>
    <w:rsid w:val="007334C4"/>
    <w:rsid w:val="00735A90"/>
    <w:rsid w:val="007764B6"/>
    <w:rsid w:val="007841B5"/>
    <w:rsid w:val="0078567B"/>
    <w:rsid w:val="007A1EA4"/>
    <w:rsid w:val="007A302E"/>
    <w:rsid w:val="007A4231"/>
    <w:rsid w:val="007C01E8"/>
    <w:rsid w:val="007C2318"/>
    <w:rsid w:val="0082329A"/>
    <w:rsid w:val="0086196A"/>
    <w:rsid w:val="0086339B"/>
    <w:rsid w:val="008A05D0"/>
    <w:rsid w:val="008A1783"/>
    <w:rsid w:val="008A5DE2"/>
    <w:rsid w:val="008B56BC"/>
    <w:rsid w:val="008C54E2"/>
    <w:rsid w:val="008E035B"/>
    <w:rsid w:val="009467A1"/>
    <w:rsid w:val="009510A6"/>
    <w:rsid w:val="00953DB5"/>
    <w:rsid w:val="00954E9B"/>
    <w:rsid w:val="00956EC8"/>
    <w:rsid w:val="009571FD"/>
    <w:rsid w:val="00984E2D"/>
    <w:rsid w:val="009A2823"/>
    <w:rsid w:val="009B6D85"/>
    <w:rsid w:val="009C68BC"/>
    <w:rsid w:val="009D6127"/>
    <w:rsid w:val="009F5CF7"/>
    <w:rsid w:val="00A05BF0"/>
    <w:rsid w:val="00A41E5E"/>
    <w:rsid w:val="00A64EE0"/>
    <w:rsid w:val="00A9232C"/>
    <w:rsid w:val="00AA4D96"/>
    <w:rsid w:val="00AB070A"/>
    <w:rsid w:val="00AE437E"/>
    <w:rsid w:val="00B00DCB"/>
    <w:rsid w:val="00B41138"/>
    <w:rsid w:val="00B4628C"/>
    <w:rsid w:val="00B53968"/>
    <w:rsid w:val="00B847EE"/>
    <w:rsid w:val="00BE0C9B"/>
    <w:rsid w:val="00BE4980"/>
    <w:rsid w:val="00C04378"/>
    <w:rsid w:val="00C46FC3"/>
    <w:rsid w:val="00C61CA8"/>
    <w:rsid w:val="00C77DC0"/>
    <w:rsid w:val="00C8061A"/>
    <w:rsid w:val="00C82781"/>
    <w:rsid w:val="00C85760"/>
    <w:rsid w:val="00CB3D8D"/>
    <w:rsid w:val="00CB6387"/>
    <w:rsid w:val="00CC12AF"/>
    <w:rsid w:val="00CC3647"/>
    <w:rsid w:val="00CC6142"/>
    <w:rsid w:val="00CF53D3"/>
    <w:rsid w:val="00D31FF1"/>
    <w:rsid w:val="00D43124"/>
    <w:rsid w:val="00D522DF"/>
    <w:rsid w:val="00D8265F"/>
    <w:rsid w:val="00DA0C0E"/>
    <w:rsid w:val="00DA7ADD"/>
    <w:rsid w:val="00DB3370"/>
    <w:rsid w:val="00DE4FCA"/>
    <w:rsid w:val="00DE7D5C"/>
    <w:rsid w:val="00E01318"/>
    <w:rsid w:val="00E03CCC"/>
    <w:rsid w:val="00E12CE1"/>
    <w:rsid w:val="00E22D7F"/>
    <w:rsid w:val="00E36D12"/>
    <w:rsid w:val="00E52CA7"/>
    <w:rsid w:val="00E8661D"/>
    <w:rsid w:val="00E87139"/>
    <w:rsid w:val="00E9520C"/>
    <w:rsid w:val="00EE0B36"/>
    <w:rsid w:val="00EE3597"/>
    <w:rsid w:val="00F061E3"/>
    <w:rsid w:val="00F21273"/>
    <w:rsid w:val="00F43183"/>
    <w:rsid w:val="00F7026C"/>
    <w:rsid w:val="00F70FF4"/>
    <w:rsid w:val="00F82773"/>
    <w:rsid w:val="00FA7EFB"/>
    <w:rsid w:val="00FB0F74"/>
    <w:rsid w:val="00FC1730"/>
    <w:rsid w:val="00FC5121"/>
    <w:rsid w:val="6E649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D63D0D21-B852-4374-92F6-9ADFA071A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semiHidden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aliases w:val="EY EPM - Lista"/>
    <w:basedOn w:val="Normal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BF6"/>
  </w:style>
  <w:style w:type="numbering" w:customStyle="1" w:styleId="Sinlista1">
    <w:name w:val="Sin lista1"/>
    <w:next w:val="Sinlista"/>
    <w:uiPriority w:val="99"/>
    <w:semiHidden/>
    <w:unhideWhenUsed/>
    <w:rsid w:val="004362B9"/>
  </w:style>
  <w:style w:type="paragraph" w:styleId="Textoindependiente">
    <w:name w:val="Body Text"/>
    <w:basedOn w:val="Normal"/>
    <w:link w:val="TextoindependienteCar"/>
    <w:rsid w:val="004362B9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4362B9"/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styleId="Nmerodepgina">
    <w:name w:val="page number"/>
    <w:basedOn w:val="Fuentedeprrafopredeter"/>
    <w:rsid w:val="004362B9"/>
  </w:style>
  <w:style w:type="paragraph" w:styleId="Textonotapie">
    <w:name w:val="footnote text"/>
    <w:basedOn w:val="Normal"/>
    <w:link w:val="TextonotapieCar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4362B9"/>
    <w:rPr>
      <w:vertAlign w:val="superscript"/>
    </w:rPr>
  </w:style>
  <w:style w:type="character" w:styleId="Refdecomentario">
    <w:name w:val="annotation reference"/>
    <w:basedOn w:val="Fuentedeprrafopredeter"/>
    <w:uiPriority w:val="99"/>
    <w:rsid w:val="004362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B9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rsid w:val="004362B9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rsid w:val="004362B9"/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4362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CO"/>
      <w14:ligatures w14:val="none"/>
    </w:rPr>
  </w:style>
  <w:style w:type="paragraph" w:styleId="Sinespaciado">
    <w:name w:val="No Spacing"/>
    <w:uiPriority w:val="1"/>
    <w:qFormat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numbering" w:customStyle="1" w:styleId="Estilo1">
    <w:name w:val="Estilo1"/>
    <w:rsid w:val="004362B9"/>
    <w:pPr>
      <w:numPr>
        <w:numId w:val="2"/>
      </w:numPr>
    </w:pPr>
  </w:style>
  <w:style w:type="paragraph" w:styleId="Lista">
    <w:name w:val="List"/>
    <w:basedOn w:val="Normal"/>
    <w:rsid w:val="004362B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Listaconvietas2">
    <w:name w:val="List Bullet 2"/>
    <w:basedOn w:val="Normal"/>
    <w:rsid w:val="004362B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">
    <w:name w:val="List Continue"/>
    <w:basedOn w:val="Normal"/>
    <w:rsid w:val="004362B9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2">
    <w:name w:val="List Continue 2"/>
    <w:basedOn w:val="Normal"/>
    <w:rsid w:val="004362B9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rsid w:val="004362B9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4362B9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erpodeltexto">
    <w:name w:val="Cuerpo del texto_"/>
    <w:basedOn w:val="Fuentedeprrafopredeter"/>
    <w:link w:val="Cuerpodeltexto0"/>
    <w:locked/>
    <w:rsid w:val="004362B9"/>
    <w:rPr>
      <w:rFonts w:ascii="Calibri" w:eastAsia="Calibri" w:hAnsi="Calibri" w:cs="Calibri"/>
      <w:spacing w:val="2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362B9"/>
    <w:pPr>
      <w:widowControl w:val="0"/>
      <w:shd w:val="clear" w:color="auto" w:fill="FFFFFF"/>
      <w:spacing w:before="360" w:after="240" w:line="269" w:lineRule="exact"/>
      <w:ind w:hanging="360"/>
      <w:jc w:val="both"/>
    </w:pPr>
    <w:rPr>
      <w:rFonts w:ascii="Calibri" w:eastAsia="Calibri" w:hAnsi="Calibri" w:cs="Calibri"/>
      <w:spacing w:val="2"/>
      <w:sz w:val="19"/>
      <w:szCs w:val="19"/>
    </w:rPr>
  </w:style>
  <w:style w:type="paragraph" w:styleId="Revisin">
    <w:name w:val="Revision"/>
    <w:hidden/>
    <w:uiPriority w:val="99"/>
    <w:semiHidden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436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Ttulo50">
    <w:name w:val="Título #5_"/>
    <w:basedOn w:val="Fuentedeprrafopredeter"/>
    <w:link w:val="Ttulo51"/>
    <w:rsid w:val="004362B9"/>
    <w:rPr>
      <w:rFonts w:ascii="Calibri" w:eastAsia="Calibri" w:hAnsi="Calibri" w:cs="Calibri"/>
      <w:b/>
      <w:bCs/>
      <w:spacing w:val="1"/>
      <w:shd w:val="clear" w:color="auto" w:fill="FFFFFF"/>
    </w:rPr>
  </w:style>
  <w:style w:type="paragraph" w:customStyle="1" w:styleId="Ttulo51">
    <w:name w:val="Título #5"/>
    <w:basedOn w:val="Normal"/>
    <w:link w:val="Ttulo50"/>
    <w:rsid w:val="004362B9"/>
    <w:pPr>
      <w:widowControl w:val="0"/>
      <w:shd w:val="clear" w:color="auto" w:fill="FFFFFF"/>
      <w:spacing w:before="240" w:after="240" w:line="0" w:lineRule="atLeast"/>
      <w:ind w:hanging="360"/>
      <w:jc w:val="both"/>
      <w:outlineLvl w:val="4"/>
    </w:pPr>
    <w:rPr>
      <w:rFonts w:ascii="Calibri" w:eastAsia="Calibri" w:hAnsi="Calibri" w:cs="Calibri"/>
      <w:b/>
      <w:bCs/>
      <w:spacing w:val="1"/>
    </w:rPr>
  </w:style>
  <w:style w:type="paragraph" w:customStyle="1" w:styleId="CM913">
    <w:name w:val="CM9+13"/>
    <w:basedOn w:val="Default"/>
    <w:next w:val="Default"/>
    <w:uiPriority w:val="99"/>
    <w:rsid w:val="004362B9"/>
    <w:pPr>
      <w:spacing w:line="278" w:lineRule="atLeast"/>
    </w:pPr>
    <w:rPr>
      <w:rFonts w:ascii="Arial" w:hAnsi="Arial" w:cs="Arial"/>
      <w:color w:val="auto"/>
    </w:rPr>
  </w:style>
  <w:style w:type="character" w:styleId="Hipervnculo">
    <w:name w:val="Hyperlink"/>
    <w:basedOn w:val="Fuentedeprrafopredeter"/>
    <w:uiPriority w:val="99"/>
    <w:semiHidden/>
    <w:unhideWhenUsed/>
    <w:rsid w:val="004362B9"/>
    <w:rPr>
      <w:color w:val="0000FF"/>
      <w:u w:val="single"/>
    </w:rPr>
  </w:style>
  <w:style w:type="character" w:customStyle="1" w:styleId="il">
    <w:name w:val="il"/>
    <w:basedOn w:val="Fuentedeprrafopredeter"/>
    <w:rsid w:val="004362B9"/>
  </w:style>
  <w:style w:type="paragraph" w:styleId="Textoindependiente2">
    <w:name w:val="Body Text 2"/>
    <w:basedOn w:val="Normal"/>
    <w:link w:val="Textoindependiente2Car"/>
    <w:unhideWhenUsed/>
    <w:rsid w:val="004362B9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CM129">
    <w:name w:val="CM129"/>
    <w:basedOn w:val="Default"/>
    <w:next w:val="Default"/>
    <w:uiPriority w:val="99"/>
    <w:rsid w:val="004362B9"/>
    <w:rPr>
      <w:rFonts w:ascii="Arial" w:hAnsi="Arial" w:cs="Arial"/>
      <w:color w:val="auto"/>
    </w:rPr>
  </w:style>
  <w:style w:type="character" w:customStyle="1" w:styleId="normaltextrun">
    <w:name w:val="normaltextrun"/>
    <w:basedOn w:val="Fuentedeprrafopredeter"/>
    <w:rsid w:val="00447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FF0E48-35D5-4BAC-889B-383B8F140A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930B89-167A-415E-8058-97622DF2E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363</Words>
  <Characters>2078</Characters>
  <Application>Microsoft Office Word</Application>
  <DocSecurity>0</DocSecurity>
  <Lines>48</Lines>
  <Paragraphs>22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Superintendencia Financiera </cp:lastModifiedBy>
  <cp:revision>55</cp:revision>
  <dcterms:created xsi:type="dcterms:W3CDTF">2024-12-17T21:32:00Z</dcterms:created>
  <dcterms:modified xsi:type="dcterms:W3CDTF">2026-04-13T14:16:00Z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82900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